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Playfair Display" w:cs="Playfair Display" w:eastAsia="Playfair Display" w:hAnsi="Playfair Display"/>
          <w:b w:val="1"/>
          <w:i w:val="1"/>
          <w:sz w:val="28"/>
          <w:szCs w:val="28"/>
          <w:rtl w:val="0"/>
        </w:rPr>
        <w:t xml:space="preserve">The Great Gatsby</w:t>
      </w: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      </w:t>
      </w: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Chapter V (5)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br w:type="textWrapping"/>
      </w: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Make sure to answer all parts of the question.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br w:type="textWrapping"/>
        <w:t xml:space="preserve">1.) Why did Nick think Gatsby offered him some extra work?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How did Nick react?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What does this reveal about Gatsby and about Nick and their views on their friendship?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br w:type="textWrapping"/>
        <w:t xml:space="preserve">2.) What symbolic object does Gatsby accidentally almost knock off Nick’s mantle?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What does his clumsiness symbolize?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br w:type="textWrapping"/>
        <w:t xml:space="preserve">3.) What is the atmosphere in the room when Daisy and Gatsby first reunite and how does it change when Nick re-enters the house?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How is this highlighted through the motif of weather?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4.) What lie does Nick catch Gatsby?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 How does Gatsby correct himself?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br w:type="textWrapping"/>
        <w:t xml:space="preserve">5.) During the tour of Gatsby’s mansion, what are some of the rooms visited?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